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  <w:t>资产托管业务收费标准</w:t>
      </w: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2014年11月5日，经中国证券监督管理委员会批准，我公司取得证券投资基金托管资格，可为各类证券投资基金、特定客户资产管理计划、定向、集合和专项资产管理计划等产品提供托管服务。我公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司资产托管业务收费标准按照市场化原则，综合考虑托管规模、产品类别、服务内容、业务处理难易程度等因素，与基金管理人协商确定后按照基金合同约定收取。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中国证券金融股份有限公司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center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2019年4月18日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61544C"/>
    <w:rsid w:val="5BD158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34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xiexm</dc:creator>
  <cp:lastModifiedBy>Dell</cp:lastModifiedBy>
  <dcterms:modified xsi:type="dcterms:W3CDTF">2019-04-18T07:07:05Z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